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jc w:val="center"/>
        <w:rPr>
          <w:b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497205</wp:posOffset>
                </wp:positionV>
                <wp:extent cx="476885" cy="612140"/>
                <wp:effectExtent l="0" t="0" r="0" b="0"/>
                <wp:wrapTopAndBottom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argin-left:221.95pt;mso-position-horizontal:absolute;mso-position-vertical-relative:margin;margin-top:39.15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МУНИЦИПАЛЬНЫЙ ОКРУГ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8"/>
        <w:rPr>
          <w:b/>
          <w:sz w:val="14"/>
          <w:szCs w:val="28"/>
        </w:rPr>
      </w:pPr>
      <w:r>
        <w:rPr>
          <w:b/>
          <w:sz w:val="14"/>
          <w:szCs w:val="28"/>
        </w:rPr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879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9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8"/>
        <w:jc w:val="center"/>
        <w:spacing w:line="276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8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78"/>
        <w:ind w:left="0" w:right="0"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8"/>
        <w:shd w:val="clear" w:color="auto" w:fill="ffffff"/>
      </w:pPr>
      <w:r>
        <w:rPr>
          <w:b/>
          <w:sz w:val="28"/>
          <w:szCs w:val="28"/>
        </w:rPr>
        <w:t xml:space="preserve">"___" ___________ </w:t>
      </w:r>
      <w:r>
        <w:rPr>
          <w:b/>
          <w:color w:val="000000"/>
          <w:sz w:val="28"/>
          <w:szCs w:val="28"/>
        </w:rPr>
        <w:t xml:space="preserve">20___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        № _____</w:t>
      </w:r>
      <w:r/>
    </w:p>
    <w:p>
      <w:pPr>
        <w:pStyle w:val="879"/>
        <w:ind w:left="0" w:right="0" w:firstLine="0"/>
        <w:jc w:val="center"/>
        <w:spacing w:line="240" w:lineRule="auto"/>
        <w:shd w:val="clear" w:color="auto" w:fill="ffffff"/>
        <w:rPr>
          <w:rFonts w:ascii="Arial" w:hAnsi="Arial"/>
          <w:sz w:val="20"/>
          <w:szCs w:val="28"/>
        </w:rPr>
      </w:pPr>
      <w:r>
        <w:rPr>
          <w:rFonts w:ascii="Arial" w:hAnsi="Arial"/>
          <w:sz w:val="20"/>
          <w:szCs w:val="28"/>
        </w:rPr>
      </w:r>
      <w:r>
        <w:rPr>
          <w:rFonts w:ascii="Arial" w:hAnsi="Arial"/>
          <w:sz w:val="20"/>
          <w:szCs w:val="28"/>
        </w:rPr>
      </w:r>
      <w:r>
        <w:rPr>
          <w:rFonts w:ascii="Arial" w:hAnsi="Arial"/>
          <w:sz w:val="20"/>
          <w:szCs w:val="28"/>
        </w:rPr>
      </w:r>
    </w:p>
    <w:p>
      <w:pPr>
        <w:pStyle w:val="878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8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8"/>
        <w:jc w:val="center"/>
        <w:tabs>
          <w:tab w:val="clear" w:pos="708" w:leader="none"/>
          <w:tab w:val="left" w:pos="4395" w:leader="none"/>
          <w:tab w:val="left" w:pos="4536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О создании комиссии миграционного контроля Чернянского муниципального округа Белгородской области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878"/>
        <w:jc w:val="center"/>
        <w:tabs>
          <w:tab w:val="clear" w:pos="708" w:leader="none"/>
          <w:tab w:val="left" w:pos="4395" w:leader="none"/>
          <w:tab w:val="left" w:pos="4536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 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87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3"/>
        <w:ind w:firstLine="709"/>
        <w:jc w:val="both"/>
        <w:widowControl/>
        <w:rPr>
          <w:sz w:val="26"/>
          <w:szCs w:val="26"/>
        </w:rPr>
      </w:pPr>
      <w:r>
        <w:rPr>
          <w:sz w:val="28"/>
          <w:szCs w:val="28"/>
        </w:rPr>
        <w:t xml:space="preserve">В соответствии с 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consultantplus://offline/ref=DD7EF84B8FCF6E1EC219D6880D770741800FA1890ECD385845F2493ED2w1wAF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25 июля 2002 года № 115-ФЗ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правовом положении иностранных граждан в Российской Федерации», </w:t>
      </w:r>
      <w:r>
        <w:rPr>
          <w:sz w:val="28"/>
          <w:szCs w:val="28"/>
        </w:rPr>
        <w:t xml:space="preserve">Федеральным законом от 6 октября 2003 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consultantplus://offline/ref=903E5F96222A77092B7337E8379C921D68F7815EA0DC857406633C8A36B392E23EF2266C7D5AE4F2141ABFD4BDDFA570654265ACDFAEF16CBC3AB2mEu7N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Федеральным законом от 20 марта 2025 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 № 33-ФЗ «Об общих принципах организации местного самоуправления в единой системе публичной власти»,</w:t>
      </w:r>
      <w:r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Губернатора Белгородской области от 1 марта 2005 года № 33 «О создании областной межведомственной комиссии миграционного контроля» и в целях координации </w:t>
      </w:r>
      <w:r>
        <w:rPr>
          <w:sz w:val="28"/>
          <w:szCs w:val="28"/>
        </w:rPr>
        <w:t xml:space="preserve">деятельности территориальных органов федеральных органов исполнительной власти на региональном уровне</w:t>
      </w:r>
      <w:r>
        <w:rPr>
          <w:sz w:val="28"/>
          <w:szCs w:val="28"/>
        </w:rPr>
        <w:t xml:space="preserve">, органов местного самоуправления, организаций, учреждений и общественных объединений по реализации единой государственной миграционной политики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утвержденной Указом Президента Российской Федерации от 15 октября 2025 года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738 «О Концепции государственной миграционной политики Российской Федерации на 2026- 2030 годы», </w:t>
      </w:r>
      <w:r>
        <w:rPr>
          <w:sz w:val="28"/>
          <w:szCs w:val="28"/>
        </w:rPr>
        <w:t xml:space="preserve">Устава Чернянского муниципального округа Белгородской области, утвержденным решением Совета депутатов Чернянского муниципального округа Белгородской области от 31.10.2025 года №23 «О принятии Устава Чернянского муниципального округа Белгородской области»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3"/>
        <w:ind w:left="0" w:right="0" w:firstLine="709"/>
        <w:jc w:val="both"/>
        <w:spacing w:before="0" w:after="0"/>
        <w:rPr>
          <w:spacing w:val="20"/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pacing w:val="20"/>
          <w:sz w:val="28"/>
          <w:szCs w:val="28"/>
          <w:highlight w:val="none"/>
        </w:rPr>
      </w:r>
      <w:r>
        <w:rPr>
          <w:spacing w:val="20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1. Создать комиссию миграционного контроля Чернянского муниципального округа и определить ее состав (Приложение 1).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2. Утвердить Положение об комиссии миграционного контроля Чернянского муниципального округа (Приложение 2).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3. Заместителю Главы Чернянского муниципального округа по безопасности (Еремин А.М.) организовать деятельность комиссии миграционного контроля Чернянского муниципального округа на постоянной основе.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4. Признать утратившими силу постановления администрации муниципального района «Чернянский район» Белгородской области от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10 сентября 2020 года №506 «О создании районной межведомственной комиссии миграционного контроля при главе администрации муниципального района «Чернянский район»</w:t>
      </w:r>
      <w:r>
        <w:rPr>
          <w:sz w:val="28"/>
          <w:szCs w:val="28"/>
          <w:highlight w:val="none"/>
        </w:rPr>
        <w:t xml:space="preserve"> Белгородской области»</w:t>
      </w:r>
      <w:r>
        <w:rPr>
          <w:sz w:val="28"/>
          <w:szCs w:val="28"/>
          <w:highlight w:val="none"/>
        </w:rPr>
        <w:t xml:space="preserve">, от 20 марта 2025 года №127 «О внесении изменений в постановление администрации муниципального района «Чернянский район» Белгородской области от 10 сентября 2020 года №506 </w:t>
      </w:r>
      <w:r>
        <w:rPr>
          <w:sz w:val="28"/>
          <w:szCs w:val="28"/>
          <w:highlight w:val="white"/>
        </w:rPr>
        <w:t xml:space="preserve">«О создании районной межведомственной комиссии миграционного контроля при главе администрации муниципального района «Чернянский район»</w:t>
      </w:r>
      <w:r>
        <w:rPr>
          <w:sz w:val="28"/>
          <w:szCs w:val="28"/>
          <w:highlight w:val="none"/>
        </w:rPr>
        <w:t xml:space="preserve"> Белгородской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5. Контроль за исполнением постановления возложить на заместителя Главы Чернянского муниципального округа по безопасности (Еремин А.М.).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8" w:type="dxa"/>
            <w:vAlign w:val="top"/>
            <w:textDirection w:val="lrTb"/>
            <w:noWrap w:val="false"/>
          </w:tcPr>
          <w:p>
            <w:pPr>
              <w:pStyle w:val="8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0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0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0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0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Утвержден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муниципального округа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  <w:ind w:left="4536" w:right="0" w:firstLine="0"/>
        <w:jc w:val="center"/>
      </w:pPr>
      <w:r>
        <w:rPr>
          <w:sz w:val="24"/>
          <w:szCs w:val="24"/>
        </w:rPr>
        <w:t xml:space="preserve">от  ____ _________ 202</w:t>
      </w:r>
      <w:r>
        <w:rPr>
          <w:sz w:val="24"/>
          <w:szCs w:val="24"/>
        </w:rPr>
        <w:t xml:space="preserve">6 года № ____</w:t>
      </w:r>
      <w:r/>
    </w:p>
    <w:p>
      <w:pPr>
        <w:pStyle w:val="878"/>
      </w:pPr>
      <w:r/>
      <w:r/>
    </w:p>
    <w:p>
      <w:pPr>
        <w:pStyle w:val="878"/>
        <w:numPr>
          <w:ilvl w:val="0"/>
          <w:numId w:val="0"/>
        </w:numPr>
        <w:ind w:left="0" w:right="0" w:firstLine="0"/>
        <w:jc w:val="center"/>
        <w:outlineLvl w:val="0"/>
      </w:pPr>
      <w:r/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Состав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комиссии миграционного контроля Чернянского муниципального округа Белгородской области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10172" w:type="dxa"/>
        <w:tblInd w:w="-7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3"/>
        <w:gridCol w:w="7479"/>
      </w:tblGrid>
      <w:tr>
        <w:trPr/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Морозов Сергей Анатольевич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03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глава Чернянского муниципального округа - председатель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318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Еремин Александр Михайлович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заместитель Главы Чернянского муниципального округа по безопасности – заместитель председателя комиссии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505"/>
        </w:trPr>
        <w:tc>
          <w:tcPr>
            <w:tcW w:w="2693" w:type="dxa"/>
            <w:textDirection w:val="lrTb"/>
            <w:noWrap w:val="false"/>
          </w:tcPr>
          <w:p>
            <w:pPr>
              <w:pStyle w:val="803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Птицын Дмитрий Михайлович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ведущий специалист группы по взаимодействию с правоохранительными, судебными и контрольно-надзорными органами МКУ «Управление по делам ГО И ЧС Чернянского муниципального округа», секретарь комиссии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Члены комиссии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10172" w:type="dxa"/>
        <w:tblInd w:w="-7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3"/>
        <w:gridCol w:w="7479"/>
      </w:tblGrid>
      <w:tr>
        <w:trPr/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Пахомова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Алла Александровна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отделения по вопросам миграции ОМВД России по Чернянскому району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459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Долгушин Александр Владимирович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contextualSpacing/>
              <w:ind w:left="0" w:right="459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 управления образования Администрации Чернянского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Богданникова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Олеговна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социальной защиты населения Администрации Чернянского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930"/>
        </w:trPr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Сотникова Наталья Вячеславовна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обеспечению деятельности комиссии по делам несовершеннолетних и защите их прав Администрации Чернянского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Марынчук Эдуард Викторович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помощник Главы Чернянского муниципального округа – секретарь антитеррористической комиссии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Лазаренко Ирина Владимировна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Чернянского кадрового центра ОКУ «ЦЗН Белгородской области»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3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Борзенков Сергей Васильевич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79" w:type="dxa"/>
            <w:textDirection w:val="lrTb"/>
            <w:noWrap w:val="false"/>
          </w:tcPr>
          <w:p>
            <w:pPr>
              <w:pStyle w:val="894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начальник УУП и ПДН ОМВД России по Чернянскому району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62"/>
        <w:jc w:val="center"/>
        <w:spacing w:before="142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4962"/>
        <w:jc w:val="center"/>
        <w:spacing w:before="142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03"/>
        <w:ind w:left="4962"/>
        <w:jc w:val="center"/>
        <w:spacing w:before="142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</w:rPr>
        <w:t xml:space="preserve">Приложение к постановлению Администрации Чернянского муниципального округа Белгородской области</w:t>
      </w: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pStyle w:val="803"/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 xml:space="preserve">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3"/>
      </w:pPr>
      <w:r/>
      <w:r/>
    </w:p>
    <w:p>
      <w:pPr>
        <w:pStyle w:val="803"/>
        <w:ind w:left="4536"/>
        <w:jc w:val="center"/>
      </w:pPr>
      <w:r/>
      <w:r/>
    </w:p>
    <w:p>
      <w:pPr>
        <w:pStyle w:val="891"/>
        <w:jc w:val="center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jc w:val="center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Положение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jc w:val="center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о комиссии миграционного контроля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jc w:val="center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муниципального округа Белгородской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3"/>
        <w:jc w:val="center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Комиссия миграционного контроля Чернянского муниципального округа Белгородской области (далее - Комиссия) является координационным органом, образованным для обеспечения согласованных действий заин</w:t>
      </w:r>
      <w:r>
        <w:rPr>
          <w:sz w:val="26"/>
          <w:szCs w:val="26"/>
        </w:rPr>
        <w:t xml:space="preserve">тересованных террит</w:t>
      </w:r>
      <w:r>
        <w:rPr>
          <w:sz w:val="26"/>
          <w:szCs w:val="26"/>
        </w:rPr>
        <w:t xml:space="preserve">ориальных орган</w:t>
      </w:r>
      <w:r>
        <w:rPr>
          <w:sz w:val="26"/>
          <w:szCs w:val="26"/>
        </w:rPr>
        <w:t xml:space="preserve">ов федеральных органов исполнительной власти и органов местного самоуправления Чернянского муниципального округа по реализации единой государственной миграционной политики, а также в целях координации работы по контролю за состоянием миграционных процессов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Чернянском муниципальном округе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Комиссия руководствуется в своей деятельности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HYPERLINK "consultantplus://offline/ref=73E9E75C5B83898B2AC8309AC440E33677DB75C6B19A6BD363340D30055A2A4EE812DFF87B5329B745F96DD1x8F"</w:instrText>
      </w:r>
      <w:r>
        <w:rPr>
          <w:sz w:val="26"/>
          <w:szCs w:val="26"/>
        </w:rPr>
        <w:fldChar w:fldCharType="separate"/>
      </w:r>
      <w:r>
        <w:rPr>
          <w:sz w:val="26"/>
          <w:szCs w:val="26"/>
        </w:rPr>
        <w:t xml:space="preserve">Конституцией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Российской Федерации, федеральными законами, указами Президента Российской Федерации, постановлениями и </w:t>
      </w:r>
      <w:r>
        <w:rPr>
          <w:sz w:val="26"/>
          <w:szCs w:val="26"/>
        </w:rPr>
        <w:t xml:space="preserve">распоряжениями Правительства Российской Федерации, постановлениями и распоряжениями Правительства Белгородской области, решениями областной межведомственной комиссии миграционного контроля при Губернаторе Белгородской области, а также настоящим Положением.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Основными задачами Комиссии являются: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координация деятельности территориальных органов федеральных органов исполнительной власти в </w:t>
      </w:r>
      <w:r>
        <w:rPr>
          <w:sz w:val="26"/>
          <w:szCs w:val="26"/>
        </w:rPr>
        <w:t xml:space="preserve">Чернянском муниципальном округе</w:t>
      </w:r>
      <w:r>
        <w:rPr>
          <w:sz w:val="26"/>
          <w:szCs w:val="26"/>
        </w:rPr>
        <w:t xml:space="preserve">, органов местного самоуправления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вопросам контроля за въездом, пребыванием (проживанием)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 иностранцев, лиц без гражданства, граждан Российской Федерации, а также взаимодействие с заинтересованными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организациями и учреждениями, общественными объединениям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исполнению законодательства Российской Федерации в сфере миграции;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выработка согласованных решений и действий территориальных органов федеральных органов исполнительной власти на</w:t>
      </w:r>
      <w:r>
        <w:rPr>
          <w:sz w:val="26"/>
          <w:szCs w:val="26"/>
        </w:rPr>
        <w:t xml:space="preserve"> уровне округа, органов местного самоуправления Чернянского муниципального округа, предприятий, организаций и общественных объединений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реализации единой государственной миграционной политики, в том числе координация действий по регулированию миграционных процессов (включая совершенствование системы мер по регулированию внешней трудовой миграции в соответствии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потребностями муниципального образования, выявлению незаконных мигрантов и пресечению незаконной миграции, определение пер</w:t>
      </w:r>
      <w:r>
        <w:rPr>
          <w:sz w:val="26"/>
          <w:szCs w:val="26"/>
        </w:rPr>
        <w:t xml:space="preserve">спективных территорий для расселения мигрантов, определение направлений использования средств, выделяемых на связанные с миграцией населения мероприятия, совершенствование информационного обеспечения в части реализации государственной миграционной политики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Чернянском муниципальном округе</w:t>
      </w:r>
      <w:r>
        <w:rPr>
          <w:sz w:val="26"/>
          <w:szCs w:val="26"/>
        </w:rPr>
        <w:t xml:space="preserve">);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рассмотрение и подготовка согласованных предложений по приоритетным вопросам внешней и внутренней миграции с учетом развития этих процессов в </w:t>
      </w:r>
      <w:r>
        <w:rPr>
          <w:sz w:val="26"/>
          <w:szCs w:val="26"/>
        </w:rPr>
        <w:t xml:space="preserve">Чернянском муниципальном округе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</w:t>
      </w:r>
      <w:r>
        <w:rPr>
          <w:sz w:val="26"/>
          <w:szCs w:val="26"/>
        </w:rPr>
        <w:t xml:space="preserve">) рассмотрение федеральных законов, других нормативных правовых актов, федеральных целевых программ в части реализации государственной миграционной политики, концепций регулирования миграционных процессов, межгосударственных соглашений и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вопросам миграции в части их исполнения на территории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анализ состояния миграционной ситуации в </w:t>
      </w:r>
      <w:r>
        <w:rPr>
          <w:sz w:val="26"/>
          <w:szCs w:val="26"/>
        </w:rPr>
        <w:t xml:space="preserve">Чернянском муниципальном округе</w:t>
      </w:r>
      <w:r>
        <w:rPr>
          <w:sz w:val="26"/>
          <w:szCs w:val="26"/>
        </w:rPr>
        <w:t xml:space="preserve"> и выработка практических рекомендаций по вопросам реализации единой государственной миграционной политики;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е) информирование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Главы 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состоянии миграционной ситуации в </w:t>
      </w:r>
      <w:r>
        <w:rPr>
          <w:sz w:val="26"/>
          <w:szCs w:val="26"/>
        </w:rPr>
        <w:t xml:space="preserve">округе</w:t>
      </w:r>
      <w:r>
        <w:rPr>
          <w:sz w:val="26"/>
          <w:szCs w:val="26"/>
        </w:rPr>
        <w:t xml:space="preserve">, деятельности </w:t>
      </w:r>
      <w:r>
        <w:rPr>
          <w:sz w:val="26"/>
          <w:szCs w:val="26"/>
        </w:rPr>
        <w:t xml:space="preserve">региональных</w:t>
      </w:r>
      <w:r>
        <w:rPr>
          <w:sz w:val="26"/>
          <w:szCs w:val="26"/>
        </w:rPr>
        <w:t xml:space="preserve"> подразделений территориальных органов федеральных органов исполнительной власти и органов местного самоуправления в сфере регулирования миграционных процессов, внесение предложений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повышению эффективности этой работы;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ж) решение иных вопросов, связанных с миграционными процессами на территории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Комиссия для выполнения возложенных на нее задач осуществляет следующие функции: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анализирует экономические, социальные, криминальные и иные факторы, их влияние на процессы миграции и положение населения в </w:t>
      </w:r>
      <w:r>
        <w:rPr>
          <w:sz w:val="26"/>
          <w:szCs w:val="26"/>
        </w:rPr>
        <w:t xml:space="preserve">муниципальном образовании</w:t>
      </w:r>
      <w:r>
        <w:rPr>
          <w:sz w:val="26"/>
          <w:szCs w:val="26"/>
        </w:rPr>
        <w:t xml:space="preserve">, разрабатывает мероприятия, направленные на упреждение негативных последствий миграции;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рассматривает обращения отдельных лиц, организаций и учреждений, общественных объединений по вопросам пребывания (проживания), трудоустройства и социального обеспечения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рассматривает обращения </w:t>
      </w:r>
      <w:r>
        <w:rPr>
          <w:sz w:val="26"/>
          <w:szCs w:val="26"/>
        </w:rPr>
        <w:t xml:space="preserve">региональных</w:t>
      </w:r>
      <w:r>
        <w:rPr>
          <w:sz w:val="26"/>
          <w:szCs w:val="26"/>
        </w:rPr>
        <w:t xml:space="preserve"> подразделений территориаль</w:t>
      </w:r>
      <w:r>
        <w:rPr>
          <w:sz w:val="26"/>
          <w:szCs w:val="26"/>
        </w:rPr>
        <w:t xml:space="preserve">ных органов федеральных органов исполнительной власти, органов исполнительной власти области по вопросам пребывания (проживания), трудоустройства, социального обеспечения иностранных граждан, лиц без гражданства, граждан Российской Федерации на территории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информирует население о состоянии миграции и ее влиянии на экономическую, социально-политическую обстановку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Комиссия имеет право: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заслушивать на своих заседаниях представителей территориальных органов федеральных органов исполнительной власти, местного самоуправления о выполнении возложенных на эти органы задач по реализации единой государственной миграционной политики;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запрашивать в установленном порядке у территориальных органов федеральных органов исполнительной власти, органов исполнительной власти Белгородской области, органов местного самоуправления, организаций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учреждений информационные и иные материалы по вопросам, отнесенным к компетенции Комиссии;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проводить в установленном порядке координационные совещания и рабочие встречи по вопросам реализации единой государственной миграционной политики в </w:t>
      </w:r>
      <w:r>
        <w:rPr>
          <w:sz w:val="26"/>
          <w:szCs w:val="26"/>
        </w:rPr>
        <w:t xml:space="preserve">Чернянском муниципальном округе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создавать рабочие группы для оперативного и качественного решения задач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возложенных на Комиссию, состав которых утверждается председателем Комиссии;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 привлекать к работе Комиссии специалистов заинтересованных федеральных органов исполнительной власти,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местного самоуправления области, научно-исследовательских</w:t>
      </w:r>
      <w:r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образовательных учреждений, организаций, учреждений и общественных объединений.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Состав Комиссии утверждается </w:t>
      </w:r>
      <w:r>
        <w:rPr>
          <w:sz w:val="26"/>
          <w:szCs w:val="26"/>
        </w:rPr>
        <w:t xml:space="preserve">постановлением Администрации </w:t>
      </w:r>
      <w:r>
        <w:rPr>
          <w:sz w:val="26"/>
          <w:szCs w:val="26"/>
        </w:rPr>
        <w:t xml:space="preserve">Чернянского муниципального округа Белгородской области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Комиссия образуется в составе председателя, одного заместителя председателя,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ответственного секретаря</w:t>
      </w:r>
      <w:r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членов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руководит деятельностью Комиссии и несет персональную ответственность за выполнение возложенных на нее задач.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 Комиссии включаются представители заинтересованных территориальных ф</w:t>
      </w:r>
      <w:r>
        <w:rPr>
          <w:sz w:val="26"/>
          <w:szCs w:val="26"/>
        </w:rPr>
        <w:t xml:space="preserve">едеральных органов исполнительной власти и органов местного самоуправления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, предпринимательских структур, общественных объединений, специалисты и общественные деятели.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Комиссия осуществляет свою деятельность н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 основе полугодовых планов, утверждаемых председателем Комиссии по согласованию с членами </w:t>
      </w:r>
      <w:r>
        <w:rPr>
          <w:sz w:val="26"/>
          <w:szCs w:val="26"/>
        </w:rPr>
        <w:t xml:space="preserve">К</w:t>
      </w:r>
      <w:r>
        <w:rPr>
          <w:sz w:val="26"/>
          <w:szCs w:val="26"/>
        </w:rPr>
        <w:t xml:space="preserve">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Заседания Комиссии проводятся по мере необходимости, но не реже 1 раза в квартал. Внеочередные заседания Комиссии проводятся по решению председателя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Заседания Комиссии проводит председатель Комиссии, а в его отсутствие - заместитель председателя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Повестка дня и порядок рассмотрения вопросов определяет председатель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Заседание Комиссии считается правомочным, если на нем присутствуют более половины ее членов.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Члены Комиссии участвуют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заседания Комиссии могут приглашаться представители федеральных органов исполнительной власти, а также организаций и общественных объединений.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Решения Комиссии принимаются большинством голосов присутствующих на заседании членов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равенства голосов решающим является голос председательствующего на заседании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Решения, принимаемые на заседаниях Комиссии, оформляются протоколами, которые подписывает председательствующий на заседании Комиссии, ответственный секретарь и члены комиссии (по согласованию).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Решения, принимаемые Комиссией в соответствии с ее компетенцией, являются обязательными для всех органов исполнительной власти, представленных в Комиссии.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10. Организационно-техническое обеспечение деятельности Комиссии, включая подготовку проектов документов Комиссии и справочных материалов, осуществляется ответственным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секретарем комиссии.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0"/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777" w:right="567" w:bottom="1134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SimHei">
    <w:panose1 w:val="02000506000000020000"/>
  </w:font>
  <w:font w:name="Franklin Gothic Heavy">
    <w:panose1 w:val="020B0A040201020202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  <w:font w:name="Droid Sans Fallback">
    <w:panose1 w:val="02000603000000000000"/>
  </w:font>
  <w:font w:name="Verdana">
    <w:panose1 w:val="020B060403050404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</w:pPr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83"/>
      <w:isLgl w:val="false"/>
      <w:suff w:val="tab"/>
      <w:lvlText w:val="%1"/>
      <w:lvlJc w:val="left"/>
      <w:pPr>
        <w:ind w:left="0"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0"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0"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975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7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23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7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271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0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779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17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927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Verdana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character" w:styleId="801">
    <w:name w:val="footnote reference"/>
    <w:basedOn w:val="850"/>
    <w:uiPriority w:val="99"/>
    <w:unhideWhenUsed/>
    <w:rPr>
      <w:vertAlign w:val="superscript"/>
    </w:rPr>
  </w:style>
  <w:style w:type="character" w:styleId="802">
    <w:name w:val="endnote reference"/>
    <w:basedOn w:val="850"/>
    <w:uiPriority w:val="99"/>
    <w:semiHidden/>
    <w:unhideWhenUsed/>
    <w:rPr>
      <w:vertAlign w:val="superscript"/>
    </w:rPr>
  </w:style>
  <w:style w:type="paragraph" w:styleId="803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04">
    <w:name w:val="Heading 1"/>
    <w:basedOn w:val="878"/>
    <w:qFormat/>
    <w:pPr>
      <w:numPr>
        <w:ilvl w:val="0"/>
        <w:numId w:val="0"/>
      </w:num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05">
    <w:name w:val="Heading 2"/>
    <w:basedOn w:val="878"/>
    <w:qFormat/>
    <w:pPr>
      <w:numPr>
        <w:ilvl w:val="0"/>
        <w:numId w:val="0"/>
      </w:num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806">
    <w:name w:val="Heading 3"/>
    <w:basedOn w:val="851"/>
    <w:qFormat/>
    <w:pPr>
      <w:numPr>
        <w:ilvl w:val="0"/>
        <w:numId w:val="0"/>
      </w:num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7">
    <w:name w:val="Heading 4"/>
    <w:basedOn w:val="851"/>
    <w:qFormat/>
    <w:pPr>
      <w:numPr>
        <w:ilvl w:val="0"/>
        <w:numId w:val="0"/>
      </w:num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851"/>
    <w:qFormat/>
    <w:pPr>
      <w:numPr>
        <w:ilvl w:val="0"/>
        <w:numId w:val="0"/>
      </w:num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9">
    <w:name w:val="Heading 6"/>
    <w:basedOn w:val="851"/>
    <w:qFormat/>
    <w:pPr>
      <w:numPr>
        <w:ilvl w:val="0"/>
        <w:numId w:val="0"/>
      </w:num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0">
    <w:name w:val="Heading 7"/>
    <w:basedOn w:val="851"/>
    <w:qFormat/>
    <w:pPr>
      <w:numPr>
        <w:ilvl w:val="0"/>
        <w:numId w:val="0"/>
      </w:num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1">
    <w:name w:val="Heading 8"/>
    <w:basedOn w:val="851"/>
    <w:qFormat/>
    <w:pPr>
      <w:numPr>
        <w:ilvl w:val="0"/>
        <w:numId w:val="0"/>
      </w:num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2">
    <w:name w:val="Heading 9"/>
    <w:basedOn w:val="851"/>
    <w:qFormat/>
    <w:pPr>
      <w:numPr>
        <w:ilvl w:val="0"/>
        <w:numId w:val="0"/>
      </w:num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3">
    <w:name w:val="Интернет-ссылка"/>
    <w:rPr>
      <w:color w:val="0000ff"/>
      <w:u w:val="single"/>
    </w:rPr>
  </w:style>
  <w:style w:type="character" w:styleId="814">
    <w:name w:val="Привязка сноски"/>
    <w:rPr>
      <w:vertAlign w:val="superscript"/>
    </w:rPr>
  </w:style>
  <w:style w:type="character" w:styleId="815">
    <w:name w:val="Footnote Characters"/>
    <w:basedOn w:val="850"/>
    <w:qFormat/>
    <w:rPr>
      <w:vertAlign w:val="superscript"/>
    </w:rPr>
  </w:style>
  <w:style w:type="character" w:styleId="816">
    <w:name w:val="Привязка концевой сноски"/>
    <w:rPr>
      <w:vertAlign w:val="superscript"/>
    </w:rPr>
  </w:style>
  <w:style w:type="character" w:styleId="817">
    <w:name w:val="Endnote Characters"/>
    <w:basedOn w:val="850"/>
    <w:qFormat/>
    <w:rPr>
      <w:vertAlign w:val="superscript"/>
    </w:rPr>
  </w:style>
  <w:style w:type="character" w:styleId="818">
    <w:name w:val="Heading 1 Char"/>
    <w:qFormat/>
    <w:rPr>
      <w:rFonts w:ascii="Arial" w:hAnsi="Arial" w:eastAsia="Arial" w:cs="Arial"/>
      <w:sz w:val="40"/>
      <w:szCs w:val="40"/>
    </w:rPr>
  </w:style>
  <w:style w:type="character" w:styleId="819">
    <w:name w:val="Heading 2 Char"/>
    <w:qFormat/>
    <w:rPr>
      <w:rFonts w:ascii="Arial" w:hAnsi="Arial" w:eastAsia="Arial" w:cs="Arial"/>
      <w:sz w:val="34"/>
    </w:rPr>
  </w:style>
  <w:style w:type="character" w:styleId="820">
    <w:name w:val="Heading 3 Char"/>
    <w:qFormat/>
    <w:rPr>
      <w:rFonts w:ascii="Arial" w:hAnsi="Arial" w:eastAsia="Arial" w:cs="Arial"/>
      <w:sz w:val="30"/>
      <w:szCs w:val="30"/>
    </w:rPr>
  </w:style>
  <w:style w:type="character" w:styleId="821">
    <w:name w:val="Heading 4 Char"/>
    <w:qFormat/>
    <w:rPr>
      <w:rFonts w:ascii="Arial" w:hAnsi="Arial" w:eastAsia="Arial" w:cs="Arial"/>
      <w:b/>
      <w:bCs/>
      <w:sz w:val="26"/>
      <w:szCs w:val="26"/>
    </w:rPr>
  </w:style>
  <w:style w:type="character" w:styleId="822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823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824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5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826">
    <w:name w:val="Heading 9 Char"/>
    <w:qFormat/>
    <w:rPr>
      <w:rFonts w:ascii="Arial" w:hAnsi="Arial" w:eastAsia="Arial" w:cs="Arial"/>
      <w:i/>
      <w:iCs/>
      <w:sz w:val="21"/>
      <w:szCs w:val="21"/>
    </w:rPr>
  </w:style>
  <w:style w:type="character" w:styleId="827">
    <w:name w:val="Title Char"/>
    <w:qFormat/>
    <w:rPr>
      <w:sz w:val="48"/>
      <w:szCs w:val="48"/>
    </w:rPr>
  </w:style>
  <w:style w:type="character" w:styleId="828">
    <w:name w:val="Subtitle Char"/>
    <w:qFormat/>
    <w:rPr>
      <w:sz w:val="24"/>
      <w:szCs w:val="24"/>
    </w:rPr>
  </w:style>
  <w:style w:type="character" w:styleId="829">
    <w:name w:val="Quote Char"/>
    <w:qFormat/>
    <w:rPr>
      <w:i/>
    </w:rPr>
  </w:style>
  <w:style w:type="character" w:styleId="830">
    <w:name w:val="Intense Quote Char"/>
    <w:qFormat/>
    <w:rPr>
      <w:i/>
    </w:rPr>
  </w:style>
  <w:style w:type="character" w:styleId="831">
    <w:name w:val="Header Char"/>
    <w:qFormat/>
  </w:style>
  <w:style w:type="character" w:styleId="832">
    <w:name w:val="Footer Char"/>
    <w:qFormat/>
  </w:style>
  <w:style w:type="character" w:styleId="833">
    <w:name w:val="Caption Char"/>
    <w:qFormat/>
  </w:style>
  <w:style w:type="character" w:styleId="834">
    <w:name w:val="Footnote Text Char"/>
    <w:qFormat/>
    <w:rPr>
      <w:sz w:val="18"/>
    </w:rPr>
  </w:style>
  <w:style w:type="character" w:styleId="835">
    <w:name w:val="Endnote Text Char"/>
    <w:qFormat/>
    <w:rPr>
      <w:sz w:val="20"/>
    </w:rPr>
  </w:style>
  <w:style w:type="character" w:styleId="836">
    <w:name w:val="Основной шрифт абзаца"/>
    <w:qFormat/>
  </w:style>
  <w:style w:type="character" w:styleId="837">
    <w:name w:val="Заголовок 2 Знак"/>
    <w:qFormat/>
    <w:rPr>
      <w:i/>
      <w:sz w:val="28"/>
      <w:lang w:val="en-US" w:eastAsia="en-US"/>
    </w:rPr>
  </w:style>
  <w:style w:type="character" w:styleId="838">
    <w:name w:val="Гиперссылка"/>
    <w:qFormat/>
    <w:rPr>
      <w:color w:val="0066cc"/>
      <w:u w:val="single"/>
    </w:rPr>
  </w:style>
  <w:style w:type="character" w:styleId="839">
    <w:name w:val="Основной текст_"/>
    <w:qFormat/>
    <w:rPr>
      <w:spacing w:val="10"/>
      <w:sz w:val="21"/>
      <w:szCs w:val="21"/>
      <w:shd w:val="clear" w:color="auto" w:fill="ffffff"/>
    </w:rPr>
  </w:style>
  <w:style w:type="character" w:styleId="840">
    <w:name w:val="Основной текст + Полужирный"/>
    <w:qFormat/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841">
    <w:name w:val="Основной текст1"/>
    <w:qFormat/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842">
    <w:name w:val="Основной текст + SimHei;Интервал 0 pt"/>
    <w:qFormat/>
    <w:rPr>
      <w:rFonts w:ascii="SimHei" w:hAnsi="SimHei" w:eastAsia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843">
    <w:name w:val="Основной текст (4) Exact"/>
    <w:qFormat/>
    <w:rPr>
      <w:rFonts w:ascii="Arial Unicode MS" w:hAnsi="Arial Unicode MS" w:eastAsia="Arial Unicode MS"/>
      <w:sz w:val="25"/>
      <w:szCs w:val="25"/>
      <w:shd w:val="clear" w:color="auto" w:fill="ffffff"/>
    </w:rPr>
  </w:style>
  <w:style w:type="character" w:styleId="844">
    <w:name w:val="Верхний колонтитул Знак"/>
    <w:basedOn w:val="836"/>
    <w:qFormat/>
  </w:style>
  <w:style w:type="character" w:styleId="845">
    <w:name w:val="Нижний колонтитул Знак"/>
    <w:basedOn w:val="836"/>
    <w:qFormat/>
  </w:style>
  <w:style w:type="character" w:styleId="846">
    <w:name w:val="Font Style21"/>
    <w:qFormat/>
    <w:rPr>
      <w:rFonts w:ascii="Times New Roman" w:hAnsi="Times New Roman"/>
      <w:b/>
      <w:bCs/>
      <w:sz w:val="26"/>
      <w:szCs w:val="26"/>
    </w:rPr>
  </w:style>
  <w:style w:type="character" w:styleId="847">
    <w:name w:val="Font Style22"/>
    <w:qFormat/>
    <w:rPr>
      <w:rFonts w:ascii="Times New Roman" w:hAnsi="Times New Roman"/>
      <w:sz w:val="26"/>
      <w:szCs w:val="26"/>
    </w:rPr>
  </w:style>
  <w:style w:type="character" w:styleId="848">
    <w:name w:val="Font Style20"/>
    <w:qFormat/>
    <w:rPr>
      <w:rFonts w:ascii="Times New Roman" w:hAnsi="Times New Roman"/>
      <w:sz w:val="28"/>
      <w:szCs w:val="28"/>
    </w:rPr>
  </w:style>
  <w:style w:type="character" w:styleId="849">
    <w:name w:val="Заголовок 1 Знак"/>
    <w:basedOn w:val="836"/>
    <w:qFormat/>
    <w:rPr>
      <w:rFonts w:ascii="Cambria" w:hAnsi="Cambria"/>
      <w:b/>
      <w:bCs/>
      <w:sz w:val="32"/>
      <w:szCs w:val="32"/>
    </w:rPr>
  </w:style>
  <w:style w:type="character" w:styleId="850" w:default="1">
    <w:name w:val="Default Paragraph Font"/>
    <w:qFormat/>
  </w:style>
  <w:style w:type="paragraph" w:styleId="851">
    <w:name w:val="Заголовок"/>
    <w:basedOn w:val="803"/>
    <w:next w:val="852"/>
    <w:qFormat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52">
    <w:name w:val="Body Text"/>
    <w:basedOn w:val="803"/>
    <w:pPr>
      <w:spacing w:before="0" w:after="140" w:line="276" w:lineRule="auto"/>
    </w:pPr>
  </w:style>
  <w:style w:type="paragraph" w:styleId="853">
    <w:name w:val="List"/>
    <w:basedOn w:val="852"/>
    <w:rPr>
      <w:rFonts w:cs="Verdana"/>
    </w:rPr>
  </w:style>
  <w:style w:type="paragraph" w:styleId="854">
    <w:name w:val="Caption"/>
    <w:basedOn w:val="803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855">
    <w:name w:val="Указатель"/>
    <w:basedOn w:val="803"/>
    <w:qFormat/>
    <w:pPr>
      <w:suppressLineNumbers/>
    </w:pPr>
    <w:rPr>
      <w:rFonts w:cs="Verdana"/>
    </w:rPr>
  </w:style>
  <w:style w:type="paragraph" w:styleId="856">
    <w:name w:val="List Paragraph"/>
    <w:qFormat/>
    <w:pPr>
      <w:contextualSpacing/>
      <w:ind w:left="720" w:right="0" w:firstLine="0"/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57">
    <w:name w:val="No Spacing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58">
    <w:name w:val="Title"/>
    <w:basedOn w:val="851"/>
    <w:qFormat/>
    <w:pPr>
      <w:contextualSpacing/>
      <w:spacing w:before="300" w:after="200"/>
    </w:pPr>
    <w:rPr>
      <w:sz w:val="48"/>
      <w:szCs w:val="48"/>
    </w:rPr>
  </w:style>
  <w:style w:type="paragraph" w:styleId="859">
    <w:name w:val="Subtitle"/>
    <w:basedOn w:val="851"/>
    <w:qFormat/>
    <w:pPr>
      <w:spacing w:before="200" w:after="200"/>
    </w:pPr>
    <w:rPr>
      <w:sz w:val="24"/>
      <w:szCs w:val="24"/>
    </w:rPr>
  </w:style>
  <w:style w:type="paragraph" w:styleId="860">
    <w:name w:val="Quote"/>
    <w:qFormat/>
    <w:pPr>
      <w:ind w:left="720" w:right="720" w:firstLine="0"/>
      <w:jc w:val="left"/>
      <w:spacing w:before="0" w:after="0"/>
      <w:widowControl/>
    </w:pPr>
    <w:rPr>
      <w:rFonts w:ascii="Times New Roman" w:hAnsi="Times New Roman" w:eastAsia="Times New Roman" w:cs="Times New Roman"/>
      <w:i/>
      <w:color w:val="auto"/>
      <w:sz w:val="20"/>
      <w:szCs w:val="20"/>
      <w:lang w:val="ru-RU" w:eastAsia="zh-CN" w:bidi="ar-SA"/>
    </w:rPr>
  </w:style>
  <w:style w:type="paragraph" w:styleId="861">
    <w:name w:val="Intense Quote"/>
    <w:qFormat/>
    <w:pPr>
      <w:ind w:left="720" w:right="720" w:firstLine="0"/>
      <w:jc w:val="left"/>
      <w:spacing w:before="0" w:after="0"/>
      <w:shd w:val="clear" w:color="auto" w:fill="f2f2f2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Times New Roman" w:hAnsi="Times New Roman" w:eastAsia="Times New Roman" w:cs="Times New Roman"/>
      <w:i/>
      <w:color w:val="auto"/>
      <w:sz w:val="20"/>
      <w:szCs w:val="20"/>
      <w:lang w:val="ru-RU" w:eastAsia="zh-CN" w:bidi="ar-SA"/>
    </w:rPr>
  </w:style>
  <w:style w:type="paragraph" w:styleId="862">
    <w:name w:val="Верхний и нижний колонтитулы"/>
    <w:basedOn w:val="803"/>
    <w:qFormat/>
  </w:style>
  <w:style w:type="paragraph" w:styleId="863">
    <w:name w:val="Header"/>
    <w:basedOn w:val="878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4">
    <w:name w:val="Footer"/>
    <w:basedOn w:val="878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5">
    <w:name w:val="footnote text"/>
    <w:basedOn w:val="803"/>
    <w:pPr>
      <w:spacing w:before="0" w:after="40" w:line="240" w:lineRule="auto"/>
    </w:pPr>
    <w:rPr>
      <w:sz w:val="18"/>
    </w:rPr>
  </w:style>
  <w:style w:type="paragraph" w:styleId="866">
    <w:name w:val="endnote text"/>
    <w:basedOn w:val="803"/>
    <w:pPr>
      <w:spacing w:before="0" w:after="0" w:line="240" w:lineRule="auto"/>
    </w:pPr>
    <w:rPr>
      <w:sz w:val="20"/>
    </w:rPr>
  </w:style>
  <w:style w:type="paragraph" w:styleId="867">
    <w:name w:val="toc 1"/>
    <w:basedOn w:val="855"/>
    <w:pPr>
      <w:ind w:left="0" w:right="0" w:firstLine="0"/>
      <w:spacing w:before="0" w:after="57"/>
    </w:pPr>
  </w:style>
  <w:style w:type="paragraph" w:styleId="868">
    <w:name w:val="toc 2"/>
    <w:basedOn w:val="855"/>
    <w:pPr>
      <w:ind w:left="283" w:right="0" w:firstLine="0"/>
      <w:spacing w:before="0" w:after="57"/>
    </w:pPr>
  </w:style>
  <w:style w:type="paragraph" w:styleId="869">
    <w:name w:val="toc 3"/>
    <w:basedOn w:val="855"/>
    <w:pPr>
      <w:ind w:left="567" w:right="0" w:firstLine="0"/>
      <w:spacing w:before="0" w:after="57"/>
    </w:pPr>
  </w:style>
  <w:style w:type="paragraph" w:styleId="870">
    <w:name w:val="toc 4"/>
    <w:basedOn w:val="855"/>
    <w:pPr>
      <w:ind w:left="850" w:right="0" w:firstLine="0"/>
      <w:spacing w:before="0" w:after="57"/>
    </w:pPr>
  </w:style>
  <w:style w:type="paragraph" w:styleId="871">
    <w:name w:val="toc 5"/>
    <w:basedOn w:val="855"/>
    <w:pPr>
      <w:ind w:left="1134" w:right="0" w:firstLine="0"/>
      <w:spacing w:before="0" w:after="57"/>
    </w:pPr>
  </w:style>
  <w:style w:type="paragraph" w:styleId="872">
    <w:name w:val="toc 6"/>
    <w:basedOn w:val="855"/>
    <w:pPr>
      <w:ind w:left="1417" w:right="0" w:firstLine="0"/>
      <w:spacing w:before="0" w:after="57"/>
    </w:pPr>
  </w:style>
  <w:style w:type="paragraph" w:styleId="873">
    <w:name w:val="toc 7"/>
    <w:basedOn w:val="855"/>
    <w:pPr>
      <w:ind w:left="1701" w:right="0" w:firstLine="0"/>
      <w:spacing w:before="0" w:after="57"/>
    </w:pPr>
  </w:style>
  <w:style w:type="paragraph" w:styleId="874">
    <w:name w:val="toc 8"/>
    <w:basedOn w:val="855"/>
    <w:pPr>
      <w:ind w:left="1984" w:right="0" w:firstLine="0"/>
      <w:spacing w:before="0" w:after="57"/>
    </w:pPr>
  </w:style>
  <w:style w:type="paragraph" w:styleId="875">
    <w:name w:val="toc 9"/>
    <w:basedOn w:val="855"/>
    <w:pPr>
      <w:ind w:left="2268" w:right="0" w:firstLine="0"/>
      <w:spacing w:before="0" w:after="57"/>
    </w:pPr>
  </w:style>
  <w:style w:type="paragraph" w:styleId="876">
    <w:name w:val="TOC Heading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7">
    <w:name w:val="table of figures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8">
    <w:name w:val="Обычный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79">
    <w:name w:val="Название объекта"/>
    <w:basedOn w:val="878"/>
    <w:qFormat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80">
    <w:name w:val="Текст"/>
    <w:basedOn w:val="803"/>
    <w:qFormat/>
    <w:pPr>
      <w:spacing w:before="100" w:after="100"/>
    </w:pPr>
    <w:rPr>
      <w:sz w:val="24"/>
      <w:szCs w:val="24"/>
    </w:rPr>
  </w:style>
  <w:style w:type="paragraph" w:styleId="881">
    <w:name w:val="ConsPlusNormal"/>
    <w:qFormat/>
    <w:pPr>
      <w:ind w:left="0" w:right="0" w:firstLine="720"/>
      <w:jc w:val="left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Times New Roman"/>
      <w:color w:val="auto"/>
      <w:sz w:val="20"/>
      <w:szCs w:val="20"/>
      <w:lang w:val="ru-RU" w:eastAsia="zh-CN" w:bidi="ar-SA"/>
    </w:rPr>
  </w:style>
  <w:style w:type="paragraph" w:styleId="882">
    <w:name w:val="Обычный 1"/>
    <w:basedOn w:val="803"/>
    <w:qFormat/>
    <w:pPr>
      <w:ind w:left="0" w:right="0" w:firstLine="709"/>
      <w:jc w:val="both"/>
      <w:spacing w:before="60" w:after="60" w:line="360" w:lineRule="auto"/>
      <w:tabs>
        <w:tab w:val="left" w:pos="708" w:leader="none"/>
      </w:tabs>
    </w:pPr>
    <w:rPr>
      <w:sz w:val="24"/>
      <w:szCs w:val="24"/>
    </w:rPr>
  </w:style>
  <w:style w:type="paragraph" w:styleId="883">
    <w:name w:val="Обычный 1 Многоуровневый нумерованный"/>
    <w:basedOn w:val="803"/>
    <w:qFormat/>
    <w:pPr>
      <w:numPr>
        <w:ilvl w:val="0"/>
        <w:numId w:val="2"/>
      </w:numPr>
      <w:jc w:val="both"/>
      <w:spacing w:line="360" w:lineRule="auto"/>
      <w:tabs>
        <w:tab w:val="left" w:pos="708" w:leader="none"/>
      </w:tabs>
    </w:pPr>
    <w:rPr>
      <w:sz w:val="24"/>
      <w:szCs w:val="24"/>
    </w:rPr>
  </w:style>
  <w:style w:type="paragraph" w:styleId="884">
    <w:name w:val="Основной текст2"/>
    <w:basedOn w:val="878"/>
    <w:qFormat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paragraph" w:styleId="885">
    <w:name w:val="Основной текст (4)"/>
    <w:basedOn w:val="878"/>
    <w:qFormat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6">
    <w:name w:val="Style11"/>
    <w:basedOn w:val="878"/>
    <w:qFormat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887">
    <w:name w:val="Style12"/>
    <w:basedOn w:val="878"/>
    <w:qFormat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888">
    <w:name w:val="Style9"/>
    <w:basedOn w:val="878"/>
    <w:qFormat/>
    <w:pPr>
      <w:ind w:left="0" w:right="0" w:firstLine="706"/>
      <w:jc w:val="both"/>
      <w:spacing w:line="324" w:lineRule="exact"/>
    </w:pPr>
    <w:rPr>
      <w:rFonts w:ascii="Arial" w:hAnsi="Arial" w:eastAsia="Times New Roman"/>
      <w:sz w:val="24"/>
      <w:szCs w:val="24"/>
    </w:rPr>
  </w:style>
  <w:style w:type="paragraph" w:styleId="889">
    <w:name w:val="Style10"/>
    <w:basedOn w:val="878"/>
    <w:qFormat/>
    <w:pPr>
      <w:ind w:left="0" w:right="0" w:firstLine="720"/>
      <w:jc w:val="both"/>
      <w:spacing w:line="324" w:lineRule="exact"/>
    </w:pPr>
    <w:rPr>
      <w:rFonts w:ascii="Arial" w:hAnsi="Arial" w:eastAsia="Times New Roman"/>
      <w:sz w:val="24"/>
      <w:szCs w:val="24"/>
    </w:rPr>
  </w:style>
  <w:style w:type="paragraph" w:styleId="890">
    <w:name w:val="Без интервала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91">
    <w:name w:val="ConsPlusTitle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ru-RU" w:bidi="ar-SA"/>
    </w:rPr>
  </w:style>
  <w:style w:type="paragraph" w:styleId="892">
    <w:name w:val="ConsPlusCell"/>
    <w:qFormat/>
    <w:pPr>
      <w:jc w:val="left"/>
      <w:spacing w:before="0" w:after="0"/>
      <w:widowControl w:val="off"/>
    </w:pPr>
    <w:rPr>
      <w:rFonts w:ascii="Arial" w:hAnsi="Arial" w:eastAsia="Times New Roman" w:cs="Times New Roman"/>
      <w:color w:val="auto"/>
      <w:sz w:val="20"/>
      <w:szCs w:val="20"/>
      <w:lang w:val="ru-RU" w:eastAsia="ru-RU" w:bidi="ar-SA"/>
    </w:rPr>
  </w:style>
  <w:style w:type="paragraph" w:styleId="893">
    <w:name w:val="text3cl"/>
    <w:basedOn w:val="878"/>
    <w:qFormat/>
    <w:pPr>
      <w:spacing w:before="280" w:after="280"/>
      <w:widowControl/>
    </w:pPr>
    <w:rPr>
      <w:sz w:val="24"/>
      <w:szCs w:val="24"/>
    </w:rPr>
  </w:style>
  <w:style w:type="paragraph" w:styleId="894">
    <w:name w:val="Абзац списка"/>
    <w:basedOn w:val="878"/>
    <w:qFormat/>
    <w:pPr>
      <w:contextualSpacing/>
      <w:ind w:left="720" w:right="0" w:firstLine="0"/>
      <w:spacing w:before="0" w:after="200" w:line="276" w:lineRule="auto"/>
      <w:widowControl/>
    </w:pPr>
    <w:rPr>
      <w:rFonts w:ascii="Calibri" w:hAnsi="Calibri" w:eastAsia="Times New Roman"/>
      <w:sz w:val="22"/>
      <w:szCs w:val="22"/>
    </w:rPr>
  </w:style>
  <w:style w:type="paragraph" w:styleId="895">
    <w:name w:val="Содержимое таблицы"/>
    <w:basedOn w:val="803"/>
    <w:qFormat/>
    <w:pPr>
      <w:widowControl w:val="off"/>
      <w:suppressLineNumbers/>
    </w:pPr>
  </w:style>
  <w:style w:type="numbering" w:styleId="896">
    <w:name w:val="Нет списка"/>
    <w:qFormat/>
  </w:style>
  <w:style w:type="numbering" w:styleId="897" w:default="1">
    <w:name w:val="No List"/>
    <w:qFormat/>
  </w:style>
  <w:style w:type="table" w:styleId="8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23</cp:revision>
  <dcterms:modified xsi:type="dcterms:W3CDTF">2026-01-30T08:13:09Z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